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4F" w:rsidRDefault="00BC3B4F" w:rsidP="00BC3B4F">
      <w:pPr>
        <w:rPr>
          <w:b/>
          <w:bCs/>
        </w:rPr>
      </w:pPr>
      <w:r>
        <w:rPr>
          <w:b/>
          <w:bCs/>
        </w:rPr>
        <w:t>Roanoke Rapids CDBG Neigh</w:t>
      </w:r>
      <w:bookmarkStart w:id="0" w:name="_GoBack"/>
      <w:bookmarkEnd w:id="0"/>
      <w:r>
        <w:rPr>
          <w:b/>
          <w:bCs/>
        </w:rPr>
        <w:t>borhood Revitalization (CDBG-NR) Program</w:t>
      </w:r>
    </w:p>
    <w:p w:rsidR="00BC3B4F" w:rsidRDefault="00BC3B4F" w:rsidP="00BC3B4F"/>
    <w:p w:rsidR="00BC3B4F" w:rsidRDefault="00BC3B4F" w:rsidP="00BC3B4F">
      <w:r>
        <w:t xml:space="preserve">The City of Roanoke Rapids will apply for CDBG Neighborhood Revitalization funds from the Rural Economic Development Division (REDD) to provide rehabilitation or replacement housing assistance to lower-income homeowner households in Roanoke Rapids City Limits. </w:t>
      </w:r>
      <w:r>
        <w:br/>
      </w:r>
      <w:r>
        <w:br/>
        <w:t>The city encourages households with lower incomes who occupy substandard housing to contact the city if they would like to be considered for a rehabilitation or reconstruction housing loan (up to 10-year term, 0% interest forgiven loan) offered through the CDBG program.</w:t>
      </w:r>
      <w:r>
        <w:br/>
        <w:t> </w:t>
      </w:r>
      <w:r>
        <w:br/>
        <w:t>In order to be considered for assistance, applicants must meet the criteria outlined below:</w:t>
      </w:r>
      <w:r>
        <w:br/>
        <w:t> </w:t>
      </w:r>
      <w:r>
        <w:br/>
        <w:t>1. Household income must be at or below:</w:t>
      </w:r>
    </w:p>
    <w:tbl>
      <w:tblPr>
        <w:tblW w:w="3915" w:type="dxa"/>
        <w:tblCellSpacing w:w="22" w:type="dxa"/>
        <w:tblCellMar>
          <w:left w:w="0" w:type="dxa"/>
          <w:right w:w="0" w:type="dxa"/>
        </w:tblCellMar>
        <w:tblLook w:val="04A0" w:firstRow="1" w:lastRow="0" w:firstColumn="1" w:lastColumn="0" w:noHBand="0" w:noVBand="1"/>
      </w:tblPr>
      <w:tblGrid>
        <w:gridCol w:w="2069"/>
        <w:gridCol w:w="1846"/>
      </w:tblGrid>
      <w:tr w:rsidR="00BC3B4F" w:rsidTr="00BC3B4F">
        <w:trPr>
          <w:tblCellSpacing w:w="22" w:type="dxa"/>
        </w:trPr>
        <w:tc>
          <w:tcPr>
            <w:tcW w:w="0" w:type="auto"/>
            <w:vAlign w:val="center"/>
            <w:hideMark/>
          </w:tcPr>
          <w:p w:rsidR="00BC3B4F" w:rsidRDefault="00BC3B4F">
            <w:r>
              <w:rPr>
                <w:u w:val="single"/>
              </w:rPr>
              <w:t>Household Size</w:t>
            </w:r>
          </w:p>
        </w:tc>
        <w:tc>
          <w:tcPr>
            <w:tcW w:w="0" w:type="auto"/>
            <w:vAlign w:val="center"/>
            <w:hideMark/>
          </w:tcPr>
          <w:p w:rsidR="00BC3B4F" w:rsidRDefault="00BC3B4F">
            <w:r>
              <w:t> </w:t>
            </w:r>
            <w:r>
              <w:rPr>
                <w:u w:val="single"/>
              </w:rPr>
              <w:t>Income Limit</w:t>
            </w:r>
          </w:p>
        </w:tc>
      </w:tr>
      <w:tr w:rsidR="00BC3B4F" w:rsidTr="00BC3B4F">
        <w:trPr>
          <w:tblCellSpacing w:w="22" w:type="dxa"/>
        </w:trPr>
        <w:tc>
          <w:tcPr>
            <w:tcW w:w="0" w:type="auto"/>
            <w:vAlign w:val="center"/>
            <w:hideMark/>
          </w:tcPr>
          <w:p w:rsidR="00BC3B4F" w:rsidRDefault="00BC3B4F">
            <w:r>
              <w:t>1</w:t>
            </w:r>
          </w:p>
        </w:tc>
        <w:tc>
          <w:tcPr>
            <w:tcW w:w="0" w:type="auto"/>
            <w:vAlign w:val="center"/>
            <w:hideMark/>
          </w:tcPr>
          <w:p w:rsidR="00BC3B4F" w:rsidRDefault="00BC3B4F">
            <w:r>
              <w:t> $30,950</w:t>
            </w:r>
          </w:p>
        </w:tc>
      </w:tr>
      <w:tr w:rsidR="00BC3B4F" w:rsidTr="00BC3B4F">
        <w:trPr>
          <w:tblCellSpacing w:w="22" w:type="dxa"/>
        </w:trPr>
        <w:tc>
          <w:tcPr>
            <w:tcW w:w="0" w:type="auto"/>
            <w:vAlign w:val="center"/>
            <w:hideMark/>
          </w:tcPr>
          <w:p w:rsidR="00BC3B4F" w:rsidRDefault="00BC3B4F">
            <w:r>
              <w:t>2</w:t>
            </w:r>
          </w:p>
        </w:tc>
        <w:tc>
          <w:tcPr>
            <w:tcW w:w="0" w:type="auto"/>
            <w:vAlign w:val="center"/>
            <w:hideMark/>
          </w:tcPr>
          <w:p w:rsidR="00BC3B4F" w:rsidRDefault="00BC3B4F">
            <w:r>
              <w:t> $35,350</w:t>
            </w:r>
          </w:p>
        </w:tc>
      </w:tr>
      <w:tr w:rsidR="00BC3B4F" w:rsidTr="00BC3B4F">
        <w:trPr>
          <w:tblCellSpacing w:w="22" w:type="dxa"/>
        </w:trPr>
        <w:tc>
          <w:tcPr>
            <w:tcW w:w="0" w:type="auto"/>
            <w:vAlign w:val="center"/>
            <w:hideMark/>
          </w:tcPr>
          <w:p w:rsidR="00BC3B4F" w:rsidRDefault="00BC3B4F">
            <w:r>
              <w:t>3</w:t>
            </w:r>
          </w:p>
        </w:tc>
        <w:tc>
          <w:tcPr>
            <w:tcW w:w="0" w:type="auto"/>
            <w:vAlign w:val="center"/>
            <w:hideMark/>
          </w:tcPr>
          <w:p w:rsidR="00BC3B4F" w:rsidRDefault="00BC3B4F">
            <w:r>
              <w:t> $39,750</w:t>
            </w:r>
          </w:p>
        </w:tc>
      </w:tr>
      <w:tr w:rsidR="00BC3B4F" w:rsidTr="00BC3B4F">
        <w:trPr>
          <w:tblCellSpacing w:w="22" w:type="dxa"/>
        </w:trPr>
        <w:tc>
          <w:tcPr>
            <w:tcW w:w="0" w:type="auto"/>
            <w:vAlign w:val="center"/>
            <w:hideMark/>
          </w:tcPr>
          <w:p w:rsidR="00BC3B4F" w:rsidRDefault="00BC3B4F">
            <w:r>
              <w:t>4</w:t>
            </w:r>
          </w:p>
        </w:tc>
        <w:tc>
          <w:tcPr>
            <w:tcW w:w="0" w:type="auto"/>
            <w:vAlign w:val="center"/>
            <w:hideMark/>
          </w:tcPr>
          <w:p w:rsidR="00BC3B4F" w:rsidRDefault="00BC3B4F">
            <w:r>
              <w:t> $44,150</w:t>
            </w:r>
          </w:p>
        </w:tc>
      </w:tr>
      <w:tr w:rsidR="00BC3B4F" w:rsidTr="00BC3B4F">
        <w:trPr>
          <w:tblCellSpacing w:w="22" w:type="dxa"/>
        </w:trPr>
        <w:tc>
          <w:tcPr>
            <w:tcW w:w="0" w:type="auto"/>
            <w:vAlign w:val="center"/>
            <w:hideMark/>
          </w:tcPr>
          <w:p w:rsidR="00BC3B4F" w:rsidRDefault="00BC3B4F">
            <w:r>
              <w:t>5</w:t>
            </w:r>
          </w:p>
        </w:tc>
        <w:tc>
          <w:tcPr>
            <w:tcW w:w="0" w:type="auto"/>
            <w:vAlign w:val="center"/>
            <w:hideMark/>
          </w:tcPr>
          <w:p w:rsidR="00BC3B4F" w:rsidRDefault="00BC3B4F">
            <w:r>
              <w:t> $47,700</w:t>
            </w:r>
          </w:p>
        </w:tc>
      </w:tr>
      <w:tr w:rsidR="00BC3B4F" w:rsidTr="00BC3B4F">
        <w:trPr>
          <w:tblCellSpacing w:w="22" w:type="dxa"/>
        </w:trPr>
        <w:tc>
          <w:tcPr>
            <w:tcW w:w="0" w:type="auto"/>
            <w:vAlign w:val="center"/>
            <w:hideMark/>
          </w:tcPr>
          <w:p w:rsidR="00BC3B4F" w:rsidRDefault="00BC3B4F">
            <w:r>
              <w:t>6</w:t>
            </w:r>
          </w:p>
        </w:tc>
        <w:tc>
          <w:tcPr>
            <w:tcW w:w="0" w:type="auto"/>
            <w:vAlign w:val="center"/>
            <w:hideMark/>
          </w:tcPr>
          <w:p w:rsidR="00BC3B4F" w:rsidRDefault="00BC3B4F">
            <w:r>
              <w:t> $51,250</w:t>
            </w:r>
          </w:p>
        </w:tc>
      </w:tr>
      <w:tr w:rsidR="00BC3B4F" w:rsidTr="00BC3B4F">
        <w:trPr>
          <w:tblCellSpacing w:w="22" w:type="dxa"/>
        </w:trPr>
        <w:tc>
          <w:tcPr>
            <w:tcW w:w="0" w:type="auto"/>
            <w:vAlign w:val="center"/>
            <w:hideMark/>
          </w:tcPr>
          <w:p w:rsidR="00BC3B4F" w:rsidRDefault="00BC3B4F">
            <w:r>
              <w:t>7</w:t>
            </w:r>
          </w:p>
        </w:tc>
        <w:tc>
          <w:tcPr>
            <w:tcW w:w="0" w:type="auto"/>
            <w:vAlign w:val="center"/>
            <w:hideMark/>
          </w:tcPr>
          <w:p w:rsidR="00BC3B4F" w:rsidRDefault="00BC3B4F">
            <w:r>
              <w:t> $54,750</w:t>
            </w:r>
          </w:p>
        </w:tc>
      </w:tr>
      <w:tr w:rsidR="00BC3B4F" w:rsidTr="00BC3B4F">
        <w:trPr>
          <w:tblCellSpacing w:w="22" w:type="dxa"/>
        </w:trPr>
        <w:tc>
          <w:tcPr>
            <w:tcW w:w="0" w:type="auto"/>
            <w:vAlign w:val="center"/>
            <w:hideMark/>
          </w:tcPr>
          <w:p w:rsidR="00BC3B4F" w:rsidRDefault="00BC3B4F">
            <w:r>
              <w:t>8</w:t>
            </w:r>
          </w:p>
        </w:tc>
        <w:tc>
          <w:tcPr>
            <w:tcW w:w="0" w:type="auto"/>
            <w:vAlign w:val="center"/>
            <w:hideMark/>
          </w:tcPr>
          <w:p w:rsidR="00BC3B4F" w:rsidRDefault="00BC3B4F">
            <w:r>
              <w:t> $58,300</w:t>
            </w:r>
          </w:p>
        </w:tc>
      </w:tr>
    </w:tbl>
    <w:p w:rsidR="00BC3B4F" w:rsidRDefault="00BC3B4F" w:rsidP="00BC3B4F">
      <w:pPr>
        <w:rPr>
          <w:b/>
          <w:bCs/>
        </w:rPr>
      </w:pPr>
      <w:r>
        <w:br/>
        <w:t> 2. Applicants must be able to document that they have paid taxes due to date and obtained clear title to the property to be assisted at the time the city considers formal applications for CDBG assistance.</w:t>
      </w:r>
      <w:r>
        <w:br/>
        <w:t> </w:t>
      </w:r>
      <w:r>
        <w:br/>
        <w:t>3. All households served must occupy a unit with severe water and/or sewer needs or severe structural deficiencies. This program is designed to address housing needs, not minor structural cosmetic improvements.</w:t>
      </w:r>
      <w:r>
        <w:br/>
        <w:t> </w:t>
      </w:r>
      <w:r>
        <w:br/>
        <w:t>4. No rental units will be considered for assistance.</w:t>
      </w:r>
      <w:r>
        <w:br/>
        <w:t> </w:t>
      </w:r>
      <w:r>
        <w:br/>
        <w:t>5. All units must be located within the limits of City of Roanoke Rapids.</w:t>
      </w:r>
      <w:r>
        <w:br/>
        <w:t> </w:t>
      </w:r>
      <w:r>
        <w:br/>
        <w:t>6. Manufactured housing must have been converted into real property if owned and occupied by the homeowner prior to selection.</w:t>
      </w:r>
      <w:r>
        <w:br/>
        <w:t> </w:t>
      </w:r>
      <w:r>
        <w:br/>
      </w:r>
      <w:r>
        <w:rPr>
          <w:b/>
          <w:bCs/>
        </w:rPr>
        <w:t xml:space="preserve">If you wish to be considered for CDBG assistance, please contact Director of Planning &amp; Development Kelly </w:t>
      </w:r>
      <w:proofErr w:type="spellStart"/>
      <w:r>
        <w:rPr>
          <w:b/>
          <w:bCs/>
        </w:rPr>
        <w:t>Lasky</w:t>
      </w:r>
      <w:proofErr w:type="spellEnd"/>
      <w:r>
        <w:rPr>
          <w:b/>
          <w:bCs/>
        </w:rPr>
        <w:t xml:space="preserve"> at 252-533-2844; </w:t>
      </w:r>
      <w:hyperlink r:id="rId4" w:history="1">
        <w:r>
          <w:rPr>
            <w:rStyle w:val="Hyperlink"/>
            <w:b/>
            <w:bCs/>
          </w:rPr>
          <w:t>klasky@roanokerapidsnc.com</w:t>
        </w:r>
      </w:hyperlink>
      <w:r>
        <w:rPr>
          <w:b/>
          <w:bCs/>
        </w:rPr>
        <w:t xml:space="preserve">; or at City Hall, 1040 Roanoke Ave no later than Friday, August 14.  </w:t>
      </w:r>
    </w:p>
    <w:p w:rsidR="00F320DB" w:rsidRDefault="00F320DB"/>
    <w:sectPr w:rsidR="00F32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4F"/>
    <w:rsid w:val="00045165"/>
    <w:rsid w:val="001A4067"/>
    <w:rsid w:val="00345B76"/>
    <w:rsid w:val="0038100F"/>
    <w:rsid w:val="004A2651"/>
    <w:rsid w:val="00807CF2"/>
    <w:rsid w:val="00814C6D"/>
    <w:rsid w:val="00B67243"/>
    <w:rsid w:val="00BC3B4F"/>
    <w:rsid w:val="00BD15CE"/>
    <w:rsid w:val="00CB6D8E"/>
    <w:rsid w:val="00DF640E"/>
    <w:rsid w:val="00F320DB"/>
    <w:rsid w:val="00F8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F699D-A179-4A1C-BC56-B8866F10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B4F"/>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A2651"/>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345B76"/>
    <w:rPr>
      <w:rFonts w:ascii="Algerian" w:eastAsiaTheme="majorEastAsia" w:hAnsi="Algerian" w:cstheme="majorBidi"/>
      <w:sz w:val="24"/>
      <w:szCs w:val="20"/>
    </w:rPr>
  </w:style>
  <w:style w:type="character" w:styleId="Hyperlink">
    <w:name w:val="Hyperlink"/>
    <w:basedOn w:val="DefaultParagraphFont"/>
    <w:uiPriority w:val="99"/>
    <w:semiHidden/>
    <w:unhideWhenUsed/>
    <w:rsid w:val="00BC3B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asky@roanokerapid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Story</dc:creator>
  <cp:keywords/>
  <dc:description/>
  <cp:lastModifiedBy>Traci Story</cp:lastModifiedBy>
  <cp:revision>1</cp:revision>
  <dcterms:created xsi:type="dcterms:W3CDTF">2020-08-11T18:01:00Z</dcterms:created>
  <dcterms:modified xsi:type="dcterms:W3CDTF">2020-08-11T18:02:00Z</dcterms:modified>
</cp:coreProperties>
</file>